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928" w:type="dxa"/>
        <w:tblLayout w:type="fixed"/>
        <w:tblLook w:val="04A0" w:firstRow="1" w:lastRow="0" w:firstColumn="1" w:lastColumn="0" w:noHBand="0" w:noVBand="1"/>
      </w:tblPr>
      <w:tblGrid>
        <w:gridCol w:w="9928"/>
      </w:tblGrid>
      <w:tr w:rsidR="002D0DF2" w:rsidRPr="00B35056" w:rsidTr="00916B82">
        <w:trPr>
          <w:trHeight w:val="467"/>
        </w:trPr>
        <w:tc>
          <w:tcPr>
            <w:tcW w:w="9928" w:type="dxa"/>
            <w:tcBorders>
              <w:bottom w:val="nil"/>
            </w:tcBorders>
            <w:tcMar>
              <w:bottom w:w="170" w:type="dxa"/>
            </w:tcMar>
          </w:tcPr>
          <w:p w:rsidR="002D0DF2" w:rsidRPr="00DB53EA" w:rsidRDefault="002D0DF2" w:rsidP="00916B82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Italics" w:hAnsi="Italics" w:cs="Times New Roman"/>
                <w:lang w:val="en-US"/>
              </w:rPr>
            </w:pPr>
            <w:r>
              <w:rPr>
                <w:rFonts w:ascii="Italics" w:hAnsi="Italics" w:cs="Times New Roman"/>
                <w:b/>
                <w:lang w:val="en-US"/>
              </w:rPr>
              <w:t>Table S3</w:t>
            </w:r>
            <w:r w:rsidRPr="00DB53EA">
              <w:rPr>
                <w:rFonts w:ascii="Italics" w:hAnsi="Italics" w:cs="Times New Roman"/>
                <w:b/>
                <w:lang w:val="en-US"/>
              </w:rPr>
              <w:t xml:space="preserve">       </w:t>
            </w:r>
            <w:r w:rsidRPr="00DB53EA">
              <w:rPr>
                <w:rFonts w:ascii="Italics" w:hAnsi="Italics" w:cs="Times New Roman"/>
                <w:lang w:val="en-US"/>
              </w:rPr>
              <w:t>Immune-histochemical results and statistical analyses of AR considered as dic</w:t>
            </w:r>
            <w:r w:rsidR="00B35056">
              <w:rPr>
                <w:rFonts w:ascii="Italics" w:hAnsi="Italics" w:cs="Times New Roman"/>
                <w:lang w:val="en-US"/>
              </w:rPr>
              <w:t>hotomized variable as for both cases and c</w:t>
            </w:r>
            <w:r w:rsidRPr="00DB53EA">
              <w:rPr>
                <w:rFonts w:ascii="Italics" w:hAnsi="Italics" w:cs="Times New Roman"/>
                <w:lang w:val="en-US"/>
              </w:rPr>
              <w:t>ontrols datasets</w:t>
            </w:r>
          </w:p>
        </w:tc>
      </w:tr>
      <w:tr w:rsidR="002D0DF2" w:rsidRPr="00DB53EA" w:rsidTr="00916B82">
        <w:trPr>
          <w:trHeight w:val="2421"/>
        </w:trPr>
        <w:tc>
          <w:tcPr>
            <w:tcW w:w="9928" w:type="dxa"/>
            <w:tcBorders>
              <w:top w:val="nil"/>
              <w:bottom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tbl>
            <w:tblPr>
              <w:tblStyle w:val="Grigliatabella"/>
              <w:tblpPr w:leftFromText="141" w:rightFromText="141" w:vertAnchor="text" w:horzAnchor="margin" w:tblpY="109"/>
              <w:tblOverlap w:val="never"/>
              <w:tblW w:w="9724" w:type="dxa"/>
              <w:tblInd w:w="5" w:type="dxa"/>
              <w:tblBorders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992"/>
              <w:gridCol w:w="1556"/>
              <w:gridCol w:w="1776"/>
              <w:gridCol w:w="1598"/>
              <w:gridCol w:w="1166"/>
              <w:gridCol w:w="1365"/>
            </w:tblGrid>
            <w:tr w:rsidR="002D0DF2" w:rsidRPr="00B35056" w:rsidTr="00916B82">
              <w:trPr>
                <w:trHeight w:val="1087"/>
              </w:trPr>
              <w:tc>
                <w:tcPr>
                  <w:tcW w:w="1271" w:type="dxa"/>
                  <w:tcBorders>
                    <w:top w:val="single" w:sz="18" w:space="0" w:color="auto"/>
                    <w:bottom w:val="single" w:sz="4" w:space="0" w:color="auto"/>
                  </w:tcBorders>
                  <w:tcMar>
                    <w:top w:w="85" w:type="dxa"/>
                    <w:bottom w:w="85" w:type="dxa"/>
                  </w:tcMar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IHC parameter</w:t>
                  </w:r>
                </w:p>
              </w:tc>
              <w:tc>
                <w:tcPr>
                  <w:tcW w:w="992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Cut-off</w:t>
                  </w:r>
                </w:p>
              </w:tc>
              <w:tc>
                <w:tcPr>
                  <w:tcW w:w="1556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Case dataset (primary ovarian lesions)</w:t>
                  </w: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(%)</w:t>
                  </w:r>
                </w:p>
              </w:tc>
              <w:tc>
                <w:tcPr>
                  <w:tcW w:w="1776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Control dataset (primary ovarian lesions)</w:t>
                  </w: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(%)</w:t>
                  </w:r>
                </w:p>
              </w:tc>
              <w:tc>
                <w:tcPr>
                  <w:tcW w:w="1598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B35056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>
                    <w:rPr>
                      <w:rFonts w:ascii="Italics" w:hAnsi="Italics" w:cs="Times New Roman"/>
                      <w:b/>
                      <w:lang w:val="en-US"/>
                    </w:rPr>
                    <w:t>p Value</w:t>
                  </w:r>
                  <w:r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(Cases vs c</w:t>
                  </w:r>
                  <w:r w:rsidR="002D0DF2" w:rsidRPr="00DB53EA">
                    <w:rPr>
                      <w:rFonts w:ascii="Italics" w:hAnsi="Italics" w:cs="Times New Roman"/>
                      <w:b/>
                      <w:lang w:val="en-US"/>
                    </w:rPr>
                    <w:t>ontrols: IHC comparison)</w:t>
                  </w:r>
                </w:p>
              </w:tc>
              <w:tc>
                <w:tcPr>
                  <w:tcW w:w="1166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B35056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>
                    <w:rPr>
                      <w:rFonts w:ascii="Italics" w:hAnsi="Italics" w:cs="Times New Roman"/>
                      <w:b/>
                      <w:lang w:val="en-US"/>
                    </w:rPr>
                    <w:t>OR</w:t>
                  </w:r>
                  <w:r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(Cases vs c</w:t>
                  </w:r>
                  <w:bookmarkStart w:id="0" w:name="_GoBack"/>
                  <w:bookmarkEnd w:id="0"/>
                  <w:r w:rsidR="002D0DF2" w:rsidRPr="00DB53EA">
                    <w:rPr>
                      <w:rFonts w:ascii="Italics" w:hAnsi="Italics" w:cs="Times New Roman"/>
                      <w:b/>
                      <w:lang w:val="en-US"/>
                    </w:rPr>
                    <w:t>ontrols)</w:t>
                  </w:r>
                  <w:r w:rsidR="002D0DF2" w:rsidRPr="00DB53EA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(CI 95%)</w:t>
                  </w:r>
                </w:p>
              </w:tc>
              <w:tc>
                <w:tcPr>
                  <w:tcW w:w="1365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</w:p>
              </w:tc>
            </w:tr>
            <w:tr w:rsidR="002D0DF2" w:rsidRPr="00B35056" w:rsidTr="00916B82">
              <w:trPr>
                <w:trHeight w:val="301"/>
              </w:trPr>
              <w:tc>
                <w:tcPr>
                  <w:tcW w:w="1271" w:type="dxa"/>
                  <w:tcBorders>
                    <w:top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98" w:type="dxa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 w:val="restart"/>
                  <w:tcBorders>
                    <w:top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AR</w:t>
                  </w: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&lt; 1%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7/39 (17.9)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2/40 (5)</w:t>
                  </w:r>
                </w:p>
              </w:tc>
              <w:tc>
                <w:tcPr>
                  <w:tcW w:w="1598" w:type="dxa"/>
                  <w:vMerge w:val="restart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0.087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/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≥ 1%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32/39 (82.1)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38/40 (95)</w:t>
                  </w:r>
                </w:p>
              </w:tc>
              <w:tc>
                <w:tcPr>
                  <w:tcW w:w="1598" w:type="dxa"/>
                  <w:vMerge/>
                  <w:tcBorders>
                    <w:bottom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/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&lt; 10%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26/39 (66.7)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7/40 (17.5)</w:t>
                  </w:r>
                </w:p>
              </w:tc>
              <w:tc>
                <w:tcPr>
                  <w:tcW w:w="1598" w:type="dxa"/>
                  <w:vMerge w:val="restart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&lt; 0.001</w:t>
                  </w:r>
                </w:p>
              </w:tc>
              <w:tc>
                <w:tcPr>
                  <w:tcW w:w="1166" w:type="dxa"/>
                  <w:vMerge w:val="restart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9.429 (3.290 – 27.020)</w:t>
                  </w:r>
                </w:p>
              </w:tc>
              <w:tc>
                <w:tcPr>
                  <w:tcW w:w="1365" w:type="dxa"/>
                  <w:vMerge w:val="restart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/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≥ 10%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13/39 (33.3)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33/40 (82.5)</w:t>
                  </w:r>
                </w:p>
              </w:tc>
              <w:tc>
                <w:tcPr>
                  <w:tcW w:w="1598" w:type="dxa"/>
                  <w:vMerge/>
                  <w:tcBorders>
                    <w:bottom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vMerge/>
                  <w:tcBorders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vMerge/>
                  <w:tcBorders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/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IRS ≤ 2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31/39 (79.5)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13/40 (32.5)</w:t>
                  </w:r>
                </w:p>
              </w:tc>
              <w:tc>
                <w:tcPr>
                  <w:tcW w:w="1598" w:type="dxa"/>
                  <w:vMerge w:val="restart"/>
                  <w:tcBorders>
                    <w:top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b/>
                      <w:lang w:val="en-US"/>
                    </w:rPr>
                    <w:t>&lt; 0.001</w:t>
                  </w: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vMerge/>
                  <w:tcBorders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IRS &gt; 2</w:t>
                  </w:r>
                </w:p>
              </w:tc>
              <w:tc>
                <w:tcPr>
                  <w:tcW w:w="155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8/39 (20.5)</w:t>
                  </w:r>
                </w:p>
              </w:tc>
              <w:tc>
                <w:tcPr>
                  <w:tcW w:w="177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  <w:r w:rsidRPr="00DB53EA">
                    <w:rPr>
                      <w:rFonts w:ascii="Italics" w:hAnsi="Italics" w:cs="Times New Roman"/>
                      <w:lang w:val="en-US"/>
                    </w:rPr>
                    <w:t>27/40 (67.5)</w:t>
                  </w:r>
                </w:p>
              </w:tc>
              <w:tc>
                <w:tcPr>
                  <w:tcW w:w="1598" w:type="dxa"/>
                  <w:vMerge/>
                  <w:tcBorders>
                    <w:bottom w:val="nil"/>
                  </w:tcBorders>
                  <w:vAlign w:val="center"/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nil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2D0DF2" w:rsidRPr="00DB53EA" w:rsidTr="00916B82">
              <w:trPr>
                <w:trHeight w:val="301"/>
              </w:trPr>
              <w:tc>
                <w:tcPr>
                  <w:tcW w:w="1271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56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776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598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166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365" w:type="dxa"/>
                  <w:tcBorders>
                    <w:top w:val="nil"/>
                    <w:bottom w:val="single" w:sz="18" w:space="0" w:color="auto"/>
                  </w:tcBorders>
                </w:tcPr>
                <w:p w:rsidR="002D0DF2" w:rsidRPr="00DB53EA" w:rsidRDefault="002D0DF2" w:rsidP="00916B82">
                  <w:pPr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</w:tbl>
          <w:p w:rsidR="002D0DF2" w:rsidRPr="00DB53EA" w:rsidRDefault="002D0DF2" w:rsidP="00916B82">
            <w:pPr>
              <w:jc w:val="both"/>
              <w:rPr>
                <w:rFonts w:ascii="Italics" w:hAnsi="Italics" w:cs="Times New Roman"/>
                <w:lang w:val="en-US"/>
              </w:rPr>
            </w:pPr>
          </w:p>
        </w:tc>
      </w:tr>
      <w:tr w:rsidR="002D0DF2" w:rsidRPr="00DB53EA" w:rsidTr="00916B82">
        <w:trPr>
          <w:trHeight w:val="208"/>
        </w:trPr>
        <w:tc>
          <w:tcPr>
            <w:tcW w:w="9928" w:type="dxa"/>
            <w:tcBorders>
              <w:top w:val="nil"/>
            </w:tcBorders>
            <w:tcMar>
              <w:top w:w="170" w:type="dxa"/>
            </w:tcMar>
          </w:tcPr>
          <w:p w:rsidR="002D0DF2" w:rsidRPr="00DB53EA" w:rsidRDefault="002D0DF2" w:rsidP="00916B82">
            <w:pPr>
              <w:jc w:val="both"/>
              <w:rPr>
                <w:rFonts w:ascii="Italics" w:hAnsi="Italics" w:cs="Times New Roman"/>
                <w:sz w:val="20"/>
                <w:szCs w:val="20"/>
                <w:lang w:val="en-US"/>
              </w:rPr>
            </w:pPr>
            <w:r w:rsidRPr="00DB53EA">
              <w:rPr>
                <w:rFonts w:ascii="Italics" w:hAnsi="Italics" w:cs="Times New Roman"/>
                <w:sz w:val="20"/>
                <w:szCs w:val="20"/>
                <w:lang w:val="en-US"/>
              </w:rPr>
              <w:t xml:space="preserve">AR: Androgen Receptor </w:t>
            </w:r>
          </w:p>
        </w:tc>
      </w:tr>
    </w:tbl>
    <w:p w:rsidR="00A40CB8" w:rsidRDefault="00B35056"/>
    <w:sectPr w:rsidR="00A40C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alic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0A"/>
    <w:rsid w:val="002D0DF2"/>
    <w:rsid w:val="003C1E0A"/>
    <w:rsid w:val="00A16AB2"/>
    <w:rsid w:val="00B35056"/>
    <w:rsid w:val="00ED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0DF2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D0DF2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0DF2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D0DF2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>Hewlett-Packard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scotto</dc:creator>
  <cp:keywords/>
  <dc:description/>
  <cp:lastModifiedBy>giulia scotto</cp:lastModifiedBy>
  <cp:revision>3</cp:revision>
  <dcterms:created xsi:type="dcterms:W3CDTF">2020-02-22T13:31:00Z</dcterms:created>
  <dcterms:modified xsi:type="dcterms:W3CDTF">2020-02-22T21:14:00Z</dcterms:modified>
</cp:coreProperties>
</file>